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Body"/>
        <w:jc w:val="center"/>
        <w:rPr>
          <w:b w:val="1"/>
          <w:bCs w:val="1"/>
          <w:sz w:val="40"/>
          <w:szCs w:val="40"/>
        </w:rPr>
      </w:pPr>
      <w:r>
        <w:rPr>
          <w:b w:val="1"/>
          <w:bCs w:val="1"/>
          <w:sz w:val="40"/>
          <w:szCs w:val="40"/>
          <w:rtl w:val="0"/>
          <w:lang w:val="en-US"/>
        </w:rPr>
        <w:t>Deal Comparison in Queensland</w:t>
      </w:r>
    </w:p>
    <w:p>
      <w:pPr>
        <w:pStyle w:val="Body"/>
        <w:jc w:val="center"/>
        <w:rPr>
          <w:sz w:val="30"/>
          <w:szCs w:val="30"/>
        </w:rPr>
      </w:pPr>
      <w:r>
        <w:rPr>
          <w:sz w:val="30"/>
          <w:szCs w:val="30"/>
          <w:rtl w:val="0"/>
          <w:lang w:val="en-US"/>
        </w:rPr>
        <w:t>Yeerongpilly</w:t>
      </w:r>
      <w:r>
        <w:rPr>
          <w:sz w:val="30"/>
          <w:szCs w:val="30"/>
          <w:rtl w:val="0"/>
          <w:lang w:val="en-US"/>
        </w:rPr>
        <w:t xml:space="preserve"> v</w:t>
      </w:r>
      <w:r>
        <w:rPr>
          <w:sz w:val="30"/>
          <w:szCs w:val="30"/>
          <w:rtl w:val="0"/>
          <w:lang w:val="en-US"/>
        </w:rPr>
        <w:t>’</w:t>
      </w:r>
      <w:r>
        <w:rPr>
          <w:sz w:val="30"/>
          <w:szCs w:val="30"/>
          <w:rtl w:val="0"/>
          <w:lang w:val="en-US"/>
        </w:rPr>
        <w:t>s Ipswich properties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14565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4855"/>
        <w:gridCol w:w="4855"/>
        <w:gridCol w:w="4855"/>
      </w:tblGrid>
      <w:tr>
        <w:tblPrEx>
          <w:shd w:val="clear" w:color="auto" w:fill="auto"/>
        </w:tblPrEx>
        <w:trPr>
          <w:trHeight w:val="298" w:hRule="atLeast"/>
        </w:trPr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sz w:val="24"/>
                <w:szCs w:val="24"/>
                <w:rtl w:val="0"/>
              </w:rPr>
              <w:t>Criteria To Compare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sz w:val="24"/>
                <w:szCs w:val="24"/>
                <w:rtl w:val="0"/>
              </w:rPr>
              <w:t>Ipswich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sz w:val="24"/>
                <w:szCs w:val="24"/>
                <w:rtl w:val="0"/>
              </w:rPr>
              <w:t>Yeerongpilly</w:t>
            </w:r>
          </w:p>
        </w:tc>
      </w:tr>
      <w:tr>
        <w:tblPrEx>
          <w:shd w:val="clear" w:color="auto" w:fill="auto"/>
        </w:tblPrEx>
        <w:trPr>
          <w:trHeight w:val="558" w:hRule="atLeast"/>
        </w:trPr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Location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In Ipswich</w:t>
            </w:r>
            <w:r>
              <w:rPr>
                <w:rFonts w:ascii="Helvetica Neue" w:hAnsi="Helvetica Neue" w:hint="default"/>
                <w:sz w:val="24"/>
                <w:szCs w:val="24"/>
                <w:rtl w:val="0"/>
              </w:rPr>
              <w:t>’</w:t>
            </w:r>
            <w:r>
              <w:rPr>
                <w:rFonts w:ascii="Helvetica Neue" w:hAnsi="Helvetica Neue"/>
                <w:sz w:val="24"/>
                <w:szCs w:val="24"/>
                <w:rtl w:val="0"/>
              </w:rPr>
              <w:t>s CBD main street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Industrial part of a suburb close to Brisbane city</w:t>
            </w:r>
          </w:p>
        </w:tc>
      </w:tr>
      <w:tr>
        <w:tblPrEx>
          <w:shd w:val="clear" w:color="auto" w:fill="auto"/>
        </w:tblPrEx>
        <w:trPr>
          <w:trHeight w:val="558" w:hRule="atLeast"/>
        </w:trPr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Property Type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2 Offices / retail- 2 storey building Freehold- plus car parking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Warehouse and Office- Body Corporate - plus car parking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Sale Price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$595,000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$685,000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Net Rent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$31,565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$48,000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% Return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5.3%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7%</w:t>
            </w:r>
          </w:p>
        </w:tc>
      </w:tr>
      <w:tr>
        <w:tblPrEx>
          <w:shd w:val="clear" w:color="auto" w:fill="auto"/>
        </w:tblPrEx>
        <w:trPr>
          <w:trHeight w:val="558" w:hRule="atLeast"/>
        </w:trPr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 xml:space="preserve">Lease 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Existing 2 tenants -each mid way through lease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New 3 years</w:t>
            </w:r>
          </w:p>
        </w:tc>
      </w:tr>
      <w:tr>
        <w:tblPrEx>
          <w:shd w:val="clear" w:color="auto" w:fill="auto"/>
        </w:tblPrEx>
        <w:trPr>
          <w:trHeight w:val="558" w:hRule="atLeast"/>
        </w:trPr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Lease Options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One more 3 years office 1</w:t>
            </w:r>
          </w:p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None for office 2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1 x 3 years</w:t>
            </w:r>
          </w:p>
        </w:tc>
      </w:tr>
      <w:tr>
        <w:tblPrEx>
          <w:shd w:val="clear" w:color="auto" w:fill="auto"/>
        </w:tblPrEx>
        <w:trPr>
          <w:trHeight w:val="558" w:hRule="atLeast"/>
        </w:trPr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Guarantors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2 guarantors in office 1</w:t>
            </w:r>
          </w:p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?? Office 2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 xml:space="preserve">Yes Tenant or Bank Guarantee </w:t>
            </w:r>
          </w:p>
        </w:tc>
      </w:tr>
      <w:tr>
        <w:tblPrEx>
          <w:shd w:val="clear" w:color="auto" w:fill="auto"/>
        </w:tblPrEx>
        <w:trPr>
          <w:trHeight w:val="838" w:hRule="atLeast"/>
        </w:trPr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% Increases in rent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None in office 1</w:t>
            </w:r>
          </w:p>
          <w:p>
            <w:pPr>
              <w:pStyle w:val="Table Style 2"/>
            </w:pPr>
            <w:r>
              <w:rPr>
                <w:rFonts w:ascii="Helvetica Neue" w:hAnsi="Helvetica Neue" w:hint="default"/>
                <w:sz w:val="24"/>
                <w:szCs w:val="24"/>
                <w:rtl w:val="0"/>
              </w:rPr>
              <w:br w:type="textWrapping"/>
            </w:r>
            <w:r>
              <w:rPr>
                <w:rFonts w:ascii="Helvetica Neue" w:hAnsi="Helvetica Neue"/>
                <w:sz w:val="24"/>
                <w:szCs w:val="24"/>
                <w:rtl w:val="0"/>
              </w:rPr>
              <w:t>4% in office 2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CPI or 3% whichever is greater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Multi Tenanted- Yes- No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Yes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No- although has the potential in the future</w:t>
            </w:r>
          </w:p>
        </w:tc>
      </w:tr>
      <w:tr>
        <w:tblPrEx>
          <w:shd w:val="clear" w:color="auto" w:fill="auto"/>
        </w:tblPrEx>
        <w:trPr>
          <w:trHeight w:val="2238" w:hRule="atLeast"/>
        </w:trPr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Growth Potential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Yes if Ipswich population grows</w:t>
            </w:r>
          </w:p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Shop has great street frontage in the CBD and has foot traffic and business signage.</w:t>
            </w:r>
            <w:r>
              <w:rPr>
                <w:rFonts w:ascii="Helvetica Neue" w:hAnsi="Helvetica Neue" w:hint="default"/>
                <w:sz w:val="24"/>
                <w:szCs w:val="24"/>
                <w:rtl w:val="0"/>
              </w:rPr>
              <w:br w:type="textWrapping"/>
            </w:r>
            <w:r>
              <w:rPr>
                <w:rFonts w:ascii="Helvetica Neue" w:hAnsi="Helvetica Neue"/>
                <w:sz w:val="24"/>
                <w:szCs w:val="24"/>
                <w:rtl w:val="0"/>
              </w:rPr>
              <w:t>BUT Be careful about local economy- check why Tenant had an amendment to their lease in 2016- to not incur further rent increases for the duration of the lease- Is it a local thing? OR specific to that tenant?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Yes- new government developments in area</w:t>
            </w:r>
            <w:r>
              <w:rPr>
                <w:rFonts w:ascii="Helvetica Neue" w:hAnsi="Helvetica Neue" w:hint="default"/>
                <w:sz w:val="24"/>
                <w:szCs w:val="24"/>
                <w:rtl w:val="0"/>
              </w:rPr>
              <w:br w:type="textWrapping"/>
            </w:r>
            <w:r>
              <w:rPr>
                <w:rFonts w:ascii="Helvetica Neue" w:hAnsi="Helvetica Neue"/>
                <w:sz w:val="24"/>
                <w:szCs w:val="24"/>
                <w:rtl w:val="0"/>
              </w:rPr>
              <w:t>Estimate 3.7%</w:t>
            </w:r>
          </w:p>
        </w:tc>
      </w:tr>
      <w:tr>
        <w:tblPrEx>
          <w:shd w:val="clear" w:color="auto" w:fill="auto"/>
        </w:tblPrEx>
        <w:trPr>
          <w:trHeight w:val="838" w:hRule="atLeast"/>
        </w:trPr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Potential for Different property use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Yes - ground floor office could be a retail shop.</w:t>
            </w:r>
            <w:r>
              <w:rPr>
                <w:rFonts w:ascii="Helvetica Neue" w:hAnsi="Helvetica Neue" w:hint="default"/>
                <w:sz w:val="24"/>
                <w:szCs w:val="24"/>
                <w:rtl w:val="0"/>
              </w:rPr>
              <w:br w:type="textWrapping"/>
            </w:r>
            <w:r>
              <w:rPr>
                <w:rFonts w:ascii="Helvetica Neue" w:hAnsi="Helvetica Neue"/>
                <w:sz w:val="24"/>
                <w:szCs w:val="24"/>
                <w:rtl w:val="0"/>
              </w:rPr>
              <w:t>1st floor hairdresser could be an office.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No</w:t>
            </w:r>
          </w:p>
        </w:tc>
      </w:tr>
      <w:tr>
        <w:tblPrEx>
          <w:shd w:val="clear" w:color="auto" w:fill="auto"/>
        </w:tblPrEx>
        <w:trPr>
          <w:trHeight w:val="838" w:hRule="atLeast"/>
        </w:trPr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 xml:space="preserve">Threats of new competitor properties through development 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?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Yes possibly- new government developments in area- with new offices being planned. (But not warehouses)</w:t>
            </w:r>
          </w:p>
        </w:tc>
      </w:tr>
      <w:tr>
        <w:tblPrEx>
          <w:shd w:val="clear" w:color="auto" w:fill="auto"/>
        </w:tblPrEx>
        <w:trPr>
          <w:trHeight w:val="1958" w:hRule="atLeast"/>
        </w:trPr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Tenant staying on through lease- Yes-No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?? Need to ask tenants</w:t>
            </w:r>
            <w:r>
              <w:rPr>
                <w:rFonts w:ascii="Helvetica Neue" w:hAnsi="Helvetica Neue" w:hint="default"/>
                <w:sz w:val="24"/>
                <w:szCs w:val="24"/>
                <w:rtl w:val="0"/>
              </w:rPr>
              <w:br w:type="textWrapping"/>
            </w:r>
            <w:r>
              <w:rPr>
                <w:rFonts w:ascii="Helvetica Neue" w:hAnsi="Helvetica Neue"/>
                <w:sz w:val="24"/>
                <w:szCs w:val="24"/>
                <w:rtl w:val="0"/>
              </w:rPr>
              <w:t>ALSO Opportunity New Lease:</w:t>
            </w:r>
          </w:p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To secure a new lease with Hairdresser and make it Net  rent + Outgoings. Later on, opportunity to secure the second tenant on a Net + Outgoings lease.</w:t>
            </w:r>
          </w:p>
          <w:p>
            <w:pPr>
              <w:pStyle w:val="Table Style 2"/>
            </w:pP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YEs- Tenant has been there 18 years and commencing new lease</w:t>
            </w:r>
          </w:p>
        </w:tc>
      </w:tr>
      <w:tr>
        <w:tblPrEx>
          <w:shd w:val="clear" w:color="auto" w:fill="auto"/>
        </w:tblPrEx>
        <w:trPr>
          <w:trHeight w:val="2518" w:hRule="atLeast"/>
        </w:trPr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b w:val="1"/>
                <w:bCs w:val="1"/>
                <w:sz w:val="24"/>
                <w:szCs w:val="24"/>
                <w:rtl w:val="0"/>
              </w:rPr>
              <w:t>CONCLUSIONS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Great if you want a freehold in a main street regional  Brisbane township</w:t>
            </w:r>
          </w:p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Beware of tenants potentially leaving</w:t>
            </w:r>
            <w:r>
              <w:rPr>
                <w:rFonts w:ascii="Helvetica Neue" w:hAnsi="Helvetica Neue" w:hint="default"/>
                <w:sz w:val="24"/>
                <w:szCs w:val="24"/>
                <w:rtl w:val="0"/>
              </w:rPr>
              <w:t xml:space="preserve">… </w:t>
            </w:r>
            <w:r>
              <w:rPr>
                <w:rFonts w:ascii="Helvetica Neue" w:hAnsi="Helvetica Neue"/>
                <w:sz w:val="24"/>
                <w:szCs w:val="24"/>
                <w:rtl w:val="0"/>
              </w:rPr>
              <w:t>as leases come to an end.</w:t>
            </w:r>
          </w:p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Not able to increase rent on Office 1 for another 1 years or so if current tenant stays.</w:t>
            </w:r>
          </w:p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 xml:space="preserve">Great of you want a multi-tenanted property with 2 incomes for peace of mind. </w:t>
            </w:r>
          </w:p>
        </w:tc>
        <w:tc>
          <w:tcPr>
            <w:tcW w:type="dxa" w:w="485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Great if you want good cash-flow and returns in a great Brisbane suburb with solid tenant.</w:t>
            </w:r>
          </w:p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Great potential for capital growth in this suburb.</w:t>
            </w:r>
            <w:r>
              <w:rPr>
                <w:rFonts w:ascii="Helvetica Neue" w:hAnsi="Helvetica Neue" w:hint="default"/>
                <w:sz w:val="24"/>
                <w:szCs w:val="24"/>
                <w:rtl w:val="0"/>
              </w:rPr>
              <w:br w:type="textWrapping"/>
              <w:br w:type="textWrapping"/>
            </w:r>
            <w:r>
              <w:rPr>
                <w:rFonts w:ascii="Helvetica Neue" w:hAnsi="Helvetica Neue"/>
                <w:sz w:val="24"/>
                <w:szCs w:val="24"/>
                <w:rtl w:val="0"/>
              </w:rPr>
              <w:t>If I had the $685,000 to spend- this is the property I would choose.</w:t>
            </w:r>
          </w:p>
        </w:tc>
      </w:tr>
    </w:tbl>
    <w:p>
      <w:pPr>
        <w:pStyle w:val="Body"/>
        <w:bidi w:val="0"/>
      </w:pPr>
    </w:p>
    <w:sectPr>
      <w:headerReference w:type="default" r:id="rId4"/>
      <w:footerReference w:type="default" r:id="rId5"/>
      <w:pgSz w:w="16838" w:h="11906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vertAlign w:val="baseli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